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2061"/>
        <w:gridCol w:w="1553"/>
        <w:gridCol w:w="2198"/>
        <w:gridCol w:w="4111"/>
      </w:tblGrid>
      <w:tr w:rsidR="00042400" w:rsidRPr="00AE39EA" w:rsidTr="00042400">
        <w:tc>
          <w:tcPr>
            <w:tcW w:w="2061" w:type="dxa"/>
          </w:tcPr>
          <w:p w:rsidR="00042400" w:rsidRPr="00AE39EA" w:rsidRDefault="00042400" w:rsidP="00AE39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AE39EA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особо охраняемой природной территории</w:t>
            </w:r>
          </w:p>
        </w:tc>
        <w:tc>
          <w:tcPr>
            <w:tcW w:w="1553" w:type="dxa"/>
          </w:tcPr>
          <w:p w:rsidR="00042400" w:rsidRPr="00AE39EA" w:rsidRDefault="00042400" w:rsidP="00AE39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9EA">
              <w:rPr>
                <w:rFonts w:ascii="Times New Roman" w:hAnsi="Times New Roman" w:cs="Times New Roman"/>
                <w:b/>
                <w:sz w:val="20"/>
                <w:szCs w:val="20"/>
              </w:rPr>
              <w:t>Дата и номер решения</w:t>
            </w:r>
          </w:p>
        </w:tc>
        <w:tc>
          <w:tcPr>
            <w:tcW w:w="2198" w:type="dxa"/>
            <w:shd w:val="clear" w:color="auto" w:fill="auto"/>
          </w:tcPr>
          <w:p w:rsidR="00042400" w:rsidRPr="00AE39EA" w:rsidRDefault="00042400" w:rsidP="00AE39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9EA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особо охраняемой природной территории, га</w:t>
            </w:r>
          </w:p>
        </w:tc>
        <w:tc>
          <w:tcPr>
            <w:tcW w:w="4111" w:type="dxa"/>
          </w:tcPr>
          <w:p w:rsidR="00042400" w:rsidRPr="00AE39EA" w:rsidRDefault="00042400" w:rsidP="00AE39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39EA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расположения особо охраняемой природной территории</w:t>
            </w:r>
          </w:p>
        </w:tc>
      </w:tr>
      <w:tr w:rsidR="00042400" w:rsidTr="00042400">
        <w:tc>
          <w:tcPr>
            <w:tcW w:w="2061" w:type="dxa"/>
          </w:tcPr>
          <w:p w:rsidR="00042400" w:rsidRDefault="00042400" w:rsidP="00AE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>Гидрологический заказник местного значения</w:t>
            </w:r>
          </w:p>
          <w:p w:rsidR="00042400" w:rsidRPr="00AE39EA" w:rsidRDefault="00042400" w:rsidP="00AE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>"Долина реки Остер"</w:t>
            </w:r>
          </w:p>
          <w:p w:rsidR="00042400" w:rsidRPr="00AE39EA" w:rsidRDefault="00042400" w:rsidP="00AE39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3" w:type="dxa"/>
          </w:tcPr>
          <w:p w:rsidR="00042400" w:rsidRPr="00AE39EA" w:rsidRDefault="00042400" w:rsidP="00AE39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>27.12.2016 №28-27 (в ред. решения Климовичск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 райисполкома от 19.08.2022 №</w:t>
            </w: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 21-4)</w:t>
            </w:r>
          </w:p>
        </w:tc>
        <w:tc>
          <w:tcPr>
            <w:tcW w:w="21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00" w:rsidRPr="00AE39EA" w:rsidRDefault="00042400" w:rsidP="00AE39E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3 011,34</w:t>
            </w:r>
          </w:p>
        </w:tc>
        <w:tc>
          <w:tcPr>
            <w:tcW w:w="4111" w:type="dxa"/>
          </w:tcPr>
          <w:p w:rsidR="00042400" w:rsidRPr="00042400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В границы заказника местного значения «Долина реки Остер» включаются земли </w:t>
            </w:r>
          </w:p>
          <w:p w:rsidR="00042400" w:rsidRPr="00042400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Климовичского лесхоза (Гусарскоелесничество – кварталы 14 (выдел 7), 17 (выдел 2), </w:t>
            </w:r>
          </w:p>
          <w:p w:rsidR="00042400" w:rsidRPr="00042400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18 (выделы 2–4, 6); Киселево-Будское лесничество – кварталы 7 (выдел 1), 13 (выделы 10, </w:t>
            </w:r>
          </w:p>
          <w:p w:rsidR="00042400" w:rsidRPr="00042400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>12, 14, 16, 18, 21–24, 26, 29–33), 15 (выделы 20–23), 18 (выделы 30, 34–36), 22 (выделы 1–</w:t>
            </w:r>
          </w:p>
          <w:p w:rsidR="00042400" w:rsidRPr="00042400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4, 6–9, 12, 14, 15, 26), 41 (выделы 17, 18, 19, 33–43), 43 (выделы 1–37, 40–56), 50 </w:t>
            </w:r>
          </w:p>
          <w:p w:rsidR="00042400" w:rsidRPr="00042400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(выделы 1–6, 8–14, 16, 20–30), 51 (выделы 1–4); КСУП «Приграничный-Агро»; земли </w:t>
            </w:r>
          </w:p>
          <w:p w:rsidR="00042400" w:rsidRPr="00AE39EA" w:rsidRDefault="00042400" w:rsidP="000424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400">
              <w:rPr>
                <w:rFonts w:ascii="Times New Roman" w:hAnsi="Times New Roman" w:cs="Times New Roman"/>
                <w:sz w:val="20"/>
                <w:szCs w:val="20"/>
              </w:rPr>
              <w:t xml:space="preserve">запаса </w:t>
            </w:r>
          </w:p>
        </w:tc>
      </w:tr>
    </w:tbl>
    <w:p w:rsidR="00042400" w:rsidRDefault="00042400" w:rsidP="00042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2400">
        <w:rPr>
          <w:rFonts w:ascii="Times New Roman" w:hAnsi="Times New Roman" w:cs="Times New Roman"/>
          <w:b/>
          <w:sz w:val="28"/>
          <w:szCs w:val="28"/>
        </w:rPr>
        <w:t>Режим охраны и использования особо охраняемой природной территории</w:t>
      </w:r>
      <w:r w:rsidRPr="000424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На территории заказника «Долина реки Остер» запрещаются следующие виды деятельности (за исключением мероприятий по предупреждению и ликвидации чрезвычайных ситуаций природного и техногенного характера): проведение работ по гидротехнической мелиорации, работ, связанных с изменением существующего гидрологического режима, кроме работ по его восстановлению, ремонтно-эксплуатационных работ по обеспечению функционирования мелиоративных систем;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разведка и разработка месторождений полезных ископаемых;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размещение отходов, за исключением временного хранения отходов в санкционированных местах хранения отходов до их перевозки на объекты захоронения, обезвреживания отходов и (или) на объекты по использованию отходов;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отведение сточных вод в окружающую среду;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возведение объектов строительства, за исключением строительства инженерных и транспортных коммуникаций, стоянок механических транспортных средств, зданий и сооружений для целей ведения лесного хозяйства, домов охотников и (или) рыболовов, эколого-информационных центров, сооружений для обустройства и (или) благоустройства зон и мест отдыха, туристических стоянок, экологических троп;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уничтожение, изъятие и (или) повреждение древесно-кустарниковой растительности, живого напочвенного покрова и лесной подстилки, снятие (уничтожение) плодородного слоя почвы, за исключением выполнения работ по размещению отдельных палаток или палаточных городков, мероприятий по регулированию распространения и численности инвазивных чужеродных видов дикорастущих растений, противопожарных мероприятий, работ, связанных с восстановлением численности (реинтродукцией) диких животных и популяций дикорастущих растений, включенных в Красную книгу Республики Беларусь, лесосечных работ и работ по трелевке и вывозке древесины при проведении рубок, не запрещенных настоящим Положением, работ по расчистке просек, уборке опасных деревьев в полосах леса, прилегающих к просекам воздушных линий электропередачи, работ по охране и защите лесного фонда, лесовосстановлению и лесоразведению, восстановлению гидрологического режима, работ по строительству инженерных и транспортных коммуникаций, стоянок механических транспортных средств, зданий и сооружений для целей ведения лесного хозяйства, домов охотников и (или) рыболовов, эколого-информационных центров, работ по обустройству (или) благоустройству (в том числе строительству сооружений) зон и мест отдыха, туристических стоянок, экологических троп;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 xml:space="preserve">разведение костров (кроме мест отдыха, предусмотренных технологическими картами на разработку лесосек, на обустроенных площадках, окаймленных минерализованной </w:t>
      </w:r>
      <w:r w:rsidRPr="00042400">
        <w:rPr>
          <w:rFonts w:ascii="Times New Roman" w:hAnsi="Times New Roman" w:cs="Times New Roman"/>
          <w:sz w:val="24"/>
          <w:szCs w:val="24"/>
        </w:rPr>
        <w:lastRenderedPageBreak/>
        <w:t>(очищенной до минерального слоя почвы) полосой шириной не менее 0,25 метра, в местах, исключающих повреждение огнем крон, стволов и корневых лап растущих деревьев) вне мест, установленных местными исполнительными и распорядительными органами;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размещение палаточных городков, других оборудованных зон и мест отдыха, туристических стоянок, стоянок механических транспортных средств вне мест, установленных местными исполнительными и распорядительными органами;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сжигание порубочных остатков при проведении лесосечных работ и иных работ по удалению древесно-кустарниковой растительности, за исключением случаев сжигания порубочных остатков в очагах вредителей и болезней леса в соответствии с техническими нормативными правовыми актами;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выжигание сухой растительности (сухих дикорастущих растений) и ее остатков на корню, за исключением случаев, предусмотренных законодательными актами;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заготовка, закупка дикорастущих растений и (или) их частей юридическими лицами и индивидуальными предпринимателями;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применение химических средств защиты растений авиационным методом;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движение и стоянка механических транспортных средств вне дорог и специально оборудованных мест, кроме механических транспортных средств органов и подразделений по чрезвычайным ситуациям, Министерства природных ресурсов и охраны окружающей среды Республики Беларусь и его территориальных органов, Министерства лесного хозяйства Республики Беларусь, Могилевского государственного производственного лесохозяйственного объединения, государственного лесохозяйственного учреждения «Климовичский лесхоз», Государственной инспекции охраны животного и растительного мира при Президенте Республики Беларусь, ее областных и межрайонных инспекций охраны животного и растительного мира, местных исполнительных и распорядительных органов для осуществления контроля за использованием и охраной земель, пользователей охотничьих угодий, находящихся в границах заказника, а также транспортных средств, выполняющих в границах заказника лесосечные работы, работы по трелевке и вывозке древесины, работы по охране и защите лесного фонда, лесовосстановлению и лесоразведению;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предоставление земельных участков для коллективного садоводства и дачного строительства;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 xml:space="preserve">создание лесных культур с использованием интродуцированных пород деревьев и </w:t>
      </w:r>
    </w:p>
    <w:p w:rsidR="00042400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кустарников;</w:t>
      </w:r>
    </w:p>
    <w:p w:rsidR="00796DE1" w:rsidRPr="00042400" w:rsidRDefault="00042400" w:rsidP="000424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42400">
        <w:rPr>
          <w:rFonts w:ascii="Times New Roman" w:hAnsi="Times New Roman" w:cs="Times New Roman"/>
          <w:sz w:val="24"/>
          <w:szCs w:val="24"/>
        </w:rPr>
        <w:t>интродукция инвазивных чужеродных видов диких животных и дикорастущих растений</w:t>
      </w:r>
    </w:p>
    <w:sectPr w:rsidR="00796DE1" w:rsidRPr="00042400" w:rsidSect="0004240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DE1"/>
    <w:rsid w:val="00042400"/>
    <w:rsid w:val="00711A9A"/>
    <w:rsid w:val="00796DE1"/>
    <w:rsid w:val="00AE39EA"/>
    <w:rsid w:val="00B5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9F1EFBC-B2DC-4891-8062-897D002C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Стасюкевич Елена Владимировна</dc:creator>
  <cp:keywords/>
  <dc:description/>
  <cp:lastModifiedBy>UserKPR</cp:lastModifiedBy>
  <cp:revision>2</cp:revision>
  <dcterms:created xsi:type="dcterms:W3CDTF">2025-02-03T07:25:00Z</dcterms:created>
  <dcterms:modified xsi:type="dcterms:W3CDTF">2025-02-03T07:25:00Z</dcterms:modified>
</cp:coreProperties>
</file>